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EFBF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bookmarkStart w:id="0" w:name="OLE_LINK2"/>
      <w:bookmarkStart w:id="1" w:name="OLE_LINK1"/>
      <w:bookmarkStart w:id="2" w:name="OLE_LINK7"/>
      <w:bookmarkStart w:id="3" w:name="OLE_LINK8"/>
      <w:r>
        <w:rPr>
          <w:rFonts w:hint="eastAsia" w:ascii="宋体" w:hAnsi="宋体"/>
          <w:b/>
          <w:position w:val="-1"/>
        </w:rPr>
        <w:t xml:space="preserve">  </w:t>
      </w:r>
      <w:r>
        <w:rPr>
          <w:rFonts w:hint="eastAsia" w:ascii="宋体" w:hAnsi="宋体"/>
          <w:b/>
          <w:position w:val="-1"/>
          <w:lang w:val="en-US" w:eastAsia="zh-CN"/>
        </w:rPr>
        <w:t>河南宇天能源科技有限公司2025年</w:t>
      </w:r>
      <w:r>
        <w:rPr>
          <w:rFonts w:hint="eastAsia" w:ascii="宋体" w:hAnsi="宋体"/>
          <w:b/>
          <w:position w:val="-1"/>
        </w:rPr>
        <w:t>有组织</w:t>
      </w:r>
      <w:r>
        <w:rPr>
          <w:rFonts w:hint="eastAsia" w:ascii="宋体" w:hAnsi="宋体"/>
          <w:b/>
          <w:position w:val="-1"/>
          <w:lang w:eastAsia="zh-CN"/>
        </w:rPr>
        <w:t>、</w:t>
      </w:r>
      <w:r>
        <w:rPr>
          <w:rFonts w:hint="eastAsia" w:ascii="宋体" w:hAnsi="宋体"/>
          <w:b/>
          <w:position w:val="-1"/>
          <w:lang w:val="en-US" w:eastAsia="zh-CN"/>
        </w:rPr>
        <w:t>无组织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559A68D2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5"/>
        <w:tblW w:w="14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33"/>
        <w:gridCol w:w="626"/>
        <w:gridCol w:w="613"/>
        <w:gridCol w:w="1197"/>
        <w:gridCol w:w="1308"/>
        <w:gridCol w:w="451"/>
        <w:gridCol w:w="1256"/>
        <w:gridCol w:w="2313"/>
        <w:gridCol w:w="1983"/>
        <w:gridCol w:w="660"/>
        <w:gridCol w:w="927"/>
      </w:tblGrid>
      <w:tr w14:paraId="13944BF2">
        <w:trPr>
          <w:trHeight w:val="557" w:hRule="atLeast"/>
        </w:trPr>
        <w:tc>
          <w:tcPr>
            <w:tcW w:w="3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31F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D8006A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C3122A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1EA648A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748A6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6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5E36C8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2025.10.24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96BF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6F801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非连续采样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AAAF325"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秦予鹏、程竞原、邱明磊、李庆科、许文娟、程梦钰、付鑫雨、李章峰、秦芳、杜红方</w:t>
            </w:r>
          </w:p>
        </w:tc>
      </w:tr>
      <w:bookmarkEnd w:id="0"/>
      <w:bookmarkEnd w:id="1"/>
      <w:tr w14:paraId="56A3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A170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70A369DE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AD3E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333E9B63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CCE503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氧量</w:t>
            </w:r>
          </w:p>
          <w:p w14:paraId="3B84C37D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0882D9">
            <w:pPr>
              <w:jc w:val="center"/>
              <w:rPr>
                <w:sz w:val="24"/>
              </w:rPr>
            </w:pPr>
            <w:r>
              <w:rPr>
                <w:sz w:val="18"/>
              </w:rPr>
              <w:t>污染因子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4DF2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监测</w:t>
            </w:r>
            <w:r>
              <w:rPr>
                <w:sz w:val="18"/>
              </w:rPr>
              <w:t>浓度</w:t>
            </w:r>
          </w:p>
          <w:p w14:paraId="51F0ECA7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bookmarkStart w:id="4" w:name="OLE_LINK6"/>
            <w:bookmarkStart w:id="5" w:name="OLE_LINK5"/>
            <w:bookmarkStart w:id="6" w:name="OLE_LINK4"/>
            <w:bookmarkStart w:id="7" w:name="OLE_LINK3"/>
            <w:r>
              <w:rPr>
                <w:rFonts w:hint="eastAsia"/>
                <w:spacing w:val="1"/>
                <w:sz w:val="18"/>
              </w:rPr>
              <w:t>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bookmarkEnd w:id="4"/>
            <w:bookmarkEnd w:id="5"/>
            <w:bookmarkEnd w:id="6"/>
            <w:bookmarkEnd w:id="7"/>
            <w:r>
              <w:rPr>
                <w:sz w:val="18"/>
              </w:rPr>
              <w:t>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24BB40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02594EE5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8770FF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3A1E45E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30F7AF4">
            <w:pPr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4610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5098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导热油炉排放口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17D7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1400</w:t>
            </w:r>
          </w:p>
        </w:tc>
        <w:tc>
          <w:tcPr>
            <w:tcW w:w="1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5CFED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8F3D2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颗粒物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B461F4">
            <w:pPr>
              <w:ind w:firstLine="360" w:firstLineChars="200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8ED553">
            <w:pPr>
              <w:ind w:firstLine="720" w:firstLineChars="400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E6592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固定污染源排气中颗粒物测定与气态污染物采样方法 GB/T 16157-1996及修改单  固定污染源废气低浓度颗粒物的测定  重量法 HJ836-2017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868D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D3C8BB0">
            <w:pPr>
              <w:jc w:val="center"/>
              <w:rPr>
                <w:sz w:val="18"/>
                <w:szCs w:val="18"/>
              </w:rPr>
            </w:pPr>
          </w:p>
        </w:tc>
      </w:tr>
      <w:tr w14:paraId="4540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1DD696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CDFB01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582C0A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017531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二氧化硫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851FC7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145786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2F1EE1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固定污染源废气  二氧化硫的测定 便携式紫外吸收法HJ  1131-2020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BB6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A4D731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573F17"/>
    <w:p w14:paraId="2888869C">
      <w:pPr>
        <w:pStyle w:val="2"/>
      </w:pPr>
    </w:p>
    <w:tbl>
      <w:tblPr>
        <w:tblStyle w:val="5"/>
        <w:tblW w:w="13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081"/>
        <w:gridCol w:w="1200"/>
        <w:gridCol w:w="1712"/>
        <w:gridCol w:w="4309"/>
        <w:gridCol w:w="662"/>
        <w:gridCol w:w="926"/>
      </w:tblGrid>
      <w:tr w14:paraId="3ED9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F14162E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265FCDF3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04E90327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54D125AC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导热油炉</w:t>
            </w:r>
          </w:p>
        </w:tc>
        <w:tc>
          <w:tcPr>
            <w:tcW w:w="30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CA5B500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12191B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w:t>污染因子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D53335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烟气黑度（级）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D2F6D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52668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750D6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6FE6F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1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FF2F80E">
            <w:pPr>
              <w:jc w:val="both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0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B8C6B2E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B459B4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烟气黑度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05BD6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＜1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B22E2F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固定污染源排放  烟气黑度的测定 林格曼烟气黑度图法HJ/T 398-2007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70522EC">
            <w:pPr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否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17B4385">
            <w:pPr>
              <w:jc w:val="center"/>
              <w:rPr>
                <w:sz w:val="18"/>
                <w:szCs w:val="18"/>
              </w:rPr>
            </w:pPr>
          </w:p>
        </w:tc>
      </w:tr>
      <w:bookmarkEnd w:id="2"/>
      <w:bookmarkEnd w:id="3"/>
    </w:tbl>
    <w:p w14:paraId="522BFDDC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54"/>
        <w:gridCol w:w="1354"/>
        <w:gridCol w:w="1354"/>
        <w:gridCol w:w="1354"/>
        <w:gridCol w:w="2348"/>
        <w:gridCol w:w="1475"/>
        <w:gridCol w:w="1725"/>
      </w:tblGrid>
      <w:tr w14:paraId="5565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vAlign w:val="center"/>
          </w:tcPr>
          <w:p w14:paraId="3AEB0D73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1354" w:type="dxa"/>
            <w:vAlign w:val="center"/>
          </w:tcPr>
          <w:p w14:paraId="7CEF2C68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2025.12.2</w:t>
            </w:r>
          </w:p>
        </w:tc>
        <w:tc>
          <w:tcPr>
            <w:tcW w:w="1354" w:type="dxa"/>
            <w:vAlign w:val="center"/>
          </w:tcPr>
          <w:p w14:paraId="489A37B0">
            <w:pPr>
              <w:pStyle w:val="2"/>
              <w:widowControl w:val="0"/>
              <w:jc w:val="center"/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4" w:type="dxa"/>
            <w:vAlign w:val="center"/>
          </w:tcPr>
          <w:p w14:paraId="004AE40A">
            <w:pPr>
              <w:pStyle w:val="2"/>
              <w:widowControl w:val="0"/>
              <w:jc w:val="center"/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4" w:type="dxa"/>
            <w:vAlign w:val="center"/>
          </w:tcPr>
          <w:p w14:paraId="5EA4DB1A">
            <w:pPr>
              <w:pStyle w:val="2"/>
              <w:widowControl w:val="0"/>
              <w:jc w:val="center"/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48" w:type="dxa"/>
            <w:vAlign w:val="center"/>
          </w:tcPr>
          <w:p w14:paraId="2B78F39D">
            <w:pPr>
              <w:pStyle w:val="2"/>
              <w:widowControl w:val="0"/>
              <w:jc w:val="center"/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5" w:type="dxa"/>
            <w:vAlign w:val="center"/>
          </w:tcPr>
          <w:p w14:paraId="66FB6627">
            <w:pPr>
              <w:pStyle w:val="2"/>
              <w:widowControl w:val="0"/>
              <w:jc w:val="center"/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 w14:paraId="217CCAE4">
            <w:pPr>
              <w:pStyle w:val="2"/>
              <w:widowControl w:val="0"/>
              <w:jc w:val="center"/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DE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vAlign w:val="center"/>
          </w:tcPr>
          <w:p w14:paraId="14BA0819">
            <w:pPr>
              <w:pStyle w:val="2"/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排放口编号</w:t>
            </w:r>
          </w:p>
        </w:tc>
        <w:tc>
          <w:tcPr>
            <w:tcW w:w="1354" w:type="dxa"/>
            <w:vAlign w:val="center"/>
          </w:tcPr>
          <w:p w14:paraId="0B786AAE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排气流量（m³/h）</w:t>
            </w:r>
          </w:p>
        </w:tc>
        <w:tc>
          <w:tcPr>
            <w:tcW w:w="1354" w:type="dxa"/>
            <w:vAlign w:val="center"/>
          </w:tcPr>
          <w:p w14:paraId="2CDEFB10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污染因子</w:t>
            </w:r>
          </w:p>
        </w:tc>
        <w:tc>
          <w:tcPr>
            <w:tcW w:w="1354" w:type="dxa"/>
            <w:vAlign w:val="center"/>
          </w:tcPr>
          <w:p w14:paraId="5AF9C360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监测浓度</w:t>
            </w:r>
          </w:p>
        </w:tc>
        <w:tc>
          <w:tcPr>
            <w:tcW w:w="1354" w:type="dxa"/>
            <w:vAlign w:val="center"/>
          </w:tcPr>
          <w:p w14:paraId="13A5A1BE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许可排放限值</w:t>
            </w:r>
          </w:p>
        </w:tc>
        <w:tc>
          <w:tcPr>
            <w:tcW w:w="2348" w:type="dxa"/>
            <w:vAlign w:val="center"/>
          </w:tcPr>
          <w:p w14:paraId="6EB65CA5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检测方法</w:t>
            </w:r>
          </w:p>
        </w:tc>
        <w:tc>
          <w:tcPr>
            <w:tcW w:w="1475" w:type="dxa"/>
            <w:vAlign w:val="center"/>
          </w:tcPr>
          <w:p w14:paraId="51667092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是否超标</w:t>
            </w:r>
          </w:p>
        </w:tc>
        <w:tc>
          <w:tcPr>
            <w:tcW w:w="1725" w:type="dxa"/>
            <w:vAlign w:val="center"/>
          </w:tcPr>
          <w:p w14:paraId="4C0923C9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备注</w:t>
            </w:r>
          </w:p>
        </w:tc>
      </w:tr>
      <w:tr w14:paraId="077A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vMerge w:val="restart"/>
            <w:vAlign w:val="center"/>
          </w:tcPr>
          <w:p w14:paraId="5E25CAF2">
            <w:pPr>
              <w:pStyle w:val="2"/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污水处理站废气排放口</w:t>
            </w:r>
          </w:p>
        </w:tc>
        <w:tc>
          <w:tcPr>
            <w:tcW w:w="1354" w:type="dxa"/>
            <w:vMerge w:val="restart"/>
            <w:vAlign w:val="center"/>
          </w:tcPr>
          <w:p w14:paraId="54463CD4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140</w:t>
            </w:r>
          </w:p>
        </w:tc>
        <w:tc>
          <w:tcPr>
            <w:tcW w:w="1354" w:type="dxa"/>
            <w:vAlign w:val="center"/>
          </w:tcPr>
          <w:p w14:paraId="205292BB">
            <w:pPr>
              <w:pStyle w:val="2"/>
              <w:widowControl w:val="0"/>
              <w:jc w:val="center"/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非甲烷总烃（mg/m³）</w:t>
            </w:r>
          </w:p>
        </w:tc>
        <w:tc>
          <w:tcPr>
            <w:tcW w:w="1354" w:type="dxa"/>
            <w:vAlign w:val="center"/>
          </w:tcPr>
          <w:p w14:paraId="18E748DD">
            <w:pPr>
              <w:pStyle w:val="2"/>
              <w:widowControl w:val="0"/>
              <w:jc w:val="center"/>
              <w:rPr>
                <w:rFonts w:hint="default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3.2</w:t>
            </w:r>
          </w:p>
        </w:tc>
        <w:tc>
          <w:tcPr>
            <w:tcW w:w="1354" w:type="dxa"/>
            <w:vAlign w:val="center"/>
          </w:tcPr>
          <w:p w14:paraId="41F88E0C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80</w:t>
            </w:r>
          </w:p>
        </w:tc>
        <w:tc>
          <w:tcPr>
            <w:tcW w:w="2348" w:type="dxa"/>
            <w:vAlign w:val="center"/>
          </w:tcPr>
          <w:p w14:paraId="557E6BFC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固定污染源废气  总烃、甲烷和非甲烷总烃的测定  气相色谱法  HJ38-2017</w:t>
            </w:r>
          </w:p>
        </w:tc>
        <w:tc>
          <w:tcPr>
            <w:tcW w:w="1475" w:type="dxa"/>
            <w:vAlign w:val="center"/>
          </w:tcPr>
          <w:p w14:paraId="3407DCD5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725" w:type="dxa"/>
          </w:tcPr>
          <w:p w14:paraId="7339A942">
            <w:pPr>
              <w:pStyle w:val="2"/>
              <w:widowControl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580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vMerge w:val="continue"/>
          </w:tcPr>
          <w:p w14:paraId="3C5FFE35">
            <w:pPr>
              <w:pStyle w:val="2"/>
              <w:widowControl w:val="0"/>
              <w:rPr>
                <w:vertAlign w:val="baseline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76BC2431">
            <w:pPr>
              <w:pStyle w:val="2"/>
              <w:widowControl w:val="0"/>
              <w:jc w:val="left"/>
              <w:rPr>
                <w:vertAlign w:val="baseline"/>
              </w:rPr>
            </w:pPr>
          </w:p>
        </w:tc>
        <w:tc>
          <w:tcPr>
            <w:tcW w:w="1354" w:type="dxa"/>
            <w:vAlign w:val="center"/>
          </w:tcPr>
          <w:p w14:paraId="52C274F7">
            <w:pPr>
              <w:pStyle w:val="2"/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硫化氢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（kg/h）</w:t>
            </w:r>
          </w:p>
        </w:tc>
        <w:tc>
          <w:tcPr>
            <w:tcW w:w="1354" w:type="dxa"/>
            <w:vAlign w:val="center"/>
          </w:tcPr>
          <w:p w14:paraId="30D032B9">
            <w:pPr>
              <w:pStyle w:val="2"/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0.001</w:t>
            </w:r>
          </w:p>
        </w:tc>
        <w:tc>
          <w:tcPr>
            <w:tcW w:w="1354" w:type="dxa"/>
            <w:vAlign w:val="center"/>
          </w:tcPr>
          <w:p w14:paraId="3791E6BE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0.94</w:t>
            </w:r>
          </w:p>
        </w:tc>
        <w:tc>
          <w:tcPr>
            <w:tcW w:w="2348" w:type="dxa"/>
            <w:vAlign w:val="center"/>
          </w:tcPr>
          <w:p w14:paraId="2F55FC47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污染源废气 硫化氢 亚甲基蓝分光光度法  </w:t>
            </w:r>
          </w:p>
        </w:tc>
        <w:tc>
          <w:tcPr>
            <w:tcW w:w="1475" w:type="dxa"/>
            <w:vAlign w:val="center"/>
          </w:tcPr>
          <w:p w14:paraId="6BC6E0AC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725" w:type="dxa"/>
          </w:tcPr>
          <w:p w14:paraId="3702997D">
            <w:pPr>
              <w:pStyle w:val="2"/>
              <w:widowControl w:val="0"/>
              <w:rPr>
                <w:vertAlign w:val="baseline"/>
              </w:rPr>
            </w:pPr>
          </w:p>
        </w:tc>
      </w:tr>
      <w:tr w14:paraId="73FD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vMerge w:val="continue"/>
          </w:tcPr>
          <w:p w14:paraId="03BDB17E">
            <w:pPr>
              <w:pStyle w:val="2"/>
              <w:widowControl w:val="0"/>
              <w:rPr>
                <w:vertAlign w:val="baseline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1066EC60">
            <w:pPr>
              <w:pStyle w:val="2"/>
              <w:widowControl w:val="0"/>
              <w:jc w:val="left"/>
              <w:rPr>
                <w:vertAlign w:val="baseline"/>
              </w:rPr>
            </w:pPr>
          </w:p>
        </w:tc>
        <w:tc>
          <w:tcPr>
            <w:tcW w:w="1354" w:type="dxa"/>
            <w:vAlign w:val="center"/>
          </w:tcPr>
          <w:p w14:paraId="3D6CE512">
            <w:pPr>
              <w:pStyle w:val="2"/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氨</w:t>
            </w: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（kg/h)</w:t>
            </w:r>
          </w:p>
        </w:tc>
        <w:tc>
          <w:tcPr>
            <w:tcW w:w="1354" w:type="dxa"/>
            <w:vAlign w:val="center"/>
          </w:tcPr>
          <w:p w14:paraId="6164C55E">
            <w:pPr>
              <w:pStyle w:val="2"/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0.09</w:t>
            </w:r>
          </w:p>
        </w:tc>
        <w:tc>
          <w:tcPr>
            <w:tcW w:w="1354" w:type="dxa"/>
            <w:vAlign w:val="center"/>
          </w:tcPr>
          <w:p w14:paraId="4FA253B3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2348" w:type="dxa"/>
            <w:vAlign w:val="center"/>
          </w:tcPr>
          <w:p w14:paraId="410F36C3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环境空气和废气 氨的测定  纳氏试剂分光光度法 HJ533-2009</w:t>
            </w:r>
          </w:p>
        </w:tc>
        <w:tc>
          <w:tcPr>
            <w:tcW w:w="1475" w:type="dxa"/>
            <w:vAlign w:val="center"/>
          </w:tcPr>
          <w:p w14:paraId="12ADDB79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725" w:type="dxa"/>
          </w:tcPr>
          <w:p w14:paraId="4EB47C3C">
            <w:pPr>
              <w:pStyle w:val="2"/>
              <w:widowControl w:val="0"/>
              <w:rPr>
                <w:vertAlign w:val="baseline"/>
              </w:rPr>
            </w:pPr>
          </w:p>
        </w:tc>
      </w:tr>
      <w:tr w14:paraId="563A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vMerge w:val="continue"/>
          </w:tcPr>
          <w:p w14:paraId="7D46AEBC">
            <w:pPr>
              <w:pStyle w:val="2"/>
              <w:widowControl w:val="0"/>
              <w:rPr>
                <w:vertAlign w:val="baseline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4A66A995">
            <w:pPr>
              <w:pStyle w:val="2"/>
              <w:widowControl w:val="0"/>
              <w:jc w:val="left"/>
              <w:rPr>
                <w:vertAlign w:val="baseline"/>
              </w:rPr>
            </w:pPr>
          </w:p>
        </w:tc>
        <w:tc>
          <w:tcPr>
            <w:tcW w:w="1354" w:type="dxa"/>
            <w:vAlign w:val="center"/>
          </w:tcPr>
          <w:p w14:paraId="738EB096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臭气浓度（无量纲）</w:t>
            </w:r>
          </w:p>
        </w:tc>
        <w:tc>
          <w:tcPr>
            <w:tcW w:w="1354" w:type="dxa"/>
            <w:vAlign w:val="center"/>
          </w:tcPr>
          <w:p w14:paraId="5ABD216C">
            <w:pPr>
              <w:pStyle w:val="2"/>
              <w:widowControl w:val="0"/>
              <w:jc w:val="center"/>
              <w:rPr>
                <w:rFonts w:hint="default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851</w:t>
            </w:r>
          </w:p>
        </w:tc>
        <w:tc>
          <w:tcPr>
            <w:tcW w:w="1354" w:type="dxa"/>
            <w:vAlign w:val="center"/>
          </w:tcPr>
          <w:p w14:paraId="5916051C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6000</w:t>
            </w:r>
          </w:p>
        </w:tc>
        <w:tc>
          <w:tcPr>
            <w:tcW w:w="2348" w:type="dxa"/>
            <w:vAlign w:val="center"/>
          </w:tcPr>
          <w:p w14:paraId="151C3182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环境空气和废气 臭气的测定 三点比较式臭袋法   HJ 1262-2022</w:t>
            </w:r>
          </w:p>
        </w:tc>
        <w:tc>
          <w:tcPr>
            <w:tcW w:w="1475" w:type="dxa"/>
            <w:vAlign w:val="center"/>
          </w:tcPr>
          <w:p w14:paraId="433051BE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725" w:type="dxa"/>
          </w:tcPr>
          <w:p w14:paraId="47FB94F9">
            <w:pPr>
              <w:pStyle w:val="2"/>
              <w:widowControl w:val="0"/>
              <w:rPr>
                <w:vertAlign w:val="baseline"/>
              </w:rPr>
            </w:pPr>
          </w:p>
        </w:tc>
      </w:tr>
    </w:tbl>
    <w:p w14:paraId="268C7E19">
      <w:pPr>
        <w:pStyle w:val="2"/>
      </w:pPr>
    </w:p>
    <w:p w14:paraId="643A5D06"/>
    <w:p w14:paraId="15FDFFDA">
      <w:pPr>
        <w:pStyle w:val="2"/>
      </w:pPr>
    </w:p>
    <w:p w14:paraId="08850A28"/>
    <w:p w14:paraId="7D1C7600">
      <w:pPr>
        <w:pStyle w:val="2"/>
      </w:pPr>
    </w:p>
    <w:tbl>
      <w:tblPr>
        <w:tblStyle w:val="5"/>
        <w:tblpPr w:leftFromText="180" w:rightFromText="180" w:vertAnchor="text" w:horzAnchor="page" w:tblpX="849" w:tblpY="290"/>
        <w:tblOverlap w:val="never"/>
        <w:tblW w:w="15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201"/>
        <w:gridCol w:w="1312"/>
        <w:gridCol w:w="1204"/>
        <w:gridCol w:w="1204"/>
        <w:gridCol w:w="1204"/>
        <w:gridCol w:w="1204"/>
        <w:gridCol w:w="1205"/>
        <w:gridCol w:w="2545"/>
        <w:gridCol w:w="1784"/>
        <w:gridCol w:w="1680"/>
      </w:tblGrid>
      <w:tr w14:paraId="045C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DB98D1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5D7ED7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2025.10.24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B61137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B46316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DC0501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3FDE97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3E7D7A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DEDA41">
            <w:pPr>
              <w:pStyle w:val="2"/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5C5FED4">
            <w:pPr>
              <w:jc w:val="center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A899193">
            <w:pPr>
              <w:jc w:val="center"/>
              <w:rPr>
                <w:sz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C44D0B7">
            <w:pPr>
              <w:jc w:val="center"/>
              <w:rPr>
                <w:rFonts w:hint="eastAsia"/>
                <w:sz w:val="18"/>
                <w:lang w:val="en-US" w:eastAsia="zh-CN"/>
              </w:rPr>
            </w:pPr>
          </w:p>
        </w:tc>
      </w:tr>
      <w:tr w14:paraId="66D3C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7A66F">
            <w:pPr>
              <w:jc w:val="both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检测项目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A2D990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监测点位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F7EA2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非甲烷总烃（以碳计）（mg/m³）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7C53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气温（℃）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7598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气压（kpa）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ADFE2E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风向风速（m/s）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0A6C2D">
            <w:pPr>
              <w:jc w:val="both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湿度（%）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B10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215E6E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E1F0B2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DEC4F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7A49A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156F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1B2CA8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无组织废气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0DA9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厂界上风向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895ED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0.6</w:t>
            </w:r>
          </w:p>
        </w:tc>
        <w:tc>
          <w:tcPr>
            <w:tcW w:w="120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3D6D2AD">
            <w:pPr>
              <w:ind w:firstLine="18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11.9-12.4</w:t>
            </w:r>
          </w:p>
        </w:tc>
        <w:tc>
          <w:tcPr>
            <w:tcW w:w="120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8521636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100.8-100.9</w:t>
            </w:r>
          </w:p>
        </w:tc>
        <w:tc>
          <w:tcPr>
            <w:tcW w:w="120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BD67A3A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20"/>
                <w:lang w:val="en-US" w:eastAsia="zh-CN" w:bidi="ar-SA"/>
              </w:rPr>
              <w:t>NW1.6-1.7</w:t>
            </w:r>
          </w:p>
        </w:tc>
        <w:tc>
          <w:tcPr>
            <w:tcW w:w="120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85888B">
            <w:pPr>
              <w:ind w:firstLine="180" w:firstLineChars="100"/>
              <w:jc w:val="both"/>
              <w:rPr>
                <w:rFonts w:hint="default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20"/>
                <w:lang w:val="en-US" w:eastAsia="zh-CN" w:bidi="ar-SA"/>
              </w:rPr>
              <w:t>42-43</w:t>
            </w:r>
          </w:p>
        </w:tc>
        <w:tc>
          <w:tcPr>
            <w:tcW w:w="12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E3E96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20"/>
                <w:lang w:val="en-US" w:eastAsia="zh-CN" w:bidi="ar-SA"/>
              </w:rPr>
              <w:t>4.0</w:t>
            </w:r>
          </w:p>
        </w:tc>
        <w:tc>
          <w:tcPr>
            <w:tcW w:w="2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98D8D5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环境空气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总烃、甲烷、非甲烷总烃的测定 直接进样-气相色谱法</w:t>
            </w:r>
            <w:r>
              <w:rPr>
                <w:rFonts w:hint="eastAsia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HJ604-2017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3461752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1773CC3">
            <w:pPr>
              <w:jc w:val="center"/>
              <w:rPr>
                <w:sz w:val="18"/>
                <w:szCs w:val="18"/>
              </w:rPr>
            </w:pPr>
          </w:p>
        </w:tc>
      </w:tr>
      <w:tr w14:paraId="6E051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59A3BB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34C3D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厂界下风向1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43E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0.83</w:t>
            </w:r>
          </w:p>
        </w:tc>
        <w:tc>
          <w:tcPr>
            <w:tcW w:w="1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0624E27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F9BFCB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2B74F55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352F165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4345B5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2545" w:type="dxa"/>
            <w:vMerge w:val="continue"/>
            <w:tcBorders>
              <w:left w:val="single" w:color="000000" w:sz="4" w:space="0"/>
              <w:right w:val="single" w:color="000000" w:sz="6" w:space="0"/>
              <w:tl2br w:val="nil"/>
              <w:tr2bl w:val="nil"/>
            </w:tcBorders>
            <w:vAlign w:val="top"/>
          </w:tcPr>
          <w:p w14:paraId="190D396F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2A151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E8DC426">
            <w:pPr>
              <w:jc w:val="center"/>
              <w:rPr>
                <w:sz w:val="18"/>
                <w:szCs w:val="18"/>
              </w:rPr>
            </w:pPr>
          </w:p>
        </w:tc>
      </w:tr>
      <w:tr w14:paraId="5328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3EB08E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D5FD42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厂界下风向2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20026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0.86</w:t>
            </w:r>
          </w:p>
        </w:tc>
        <w:tc>
          <w:tcPr>
            <w:tcW w:w="1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0AA5CE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A45E937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EB52944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64855B8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0971022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2545" w:type="dxa"/>
            <w:vMerge w:val="continue"/>
            <w:tcBorders>
              <w:left w:val="single" w:color="000000" w:sz="4" w:space="0"/>
              <w:right w:val="single" w:color="000000" w:sz="6" w:space="0"/>
              <w:tl2br w:val="nil"/>
              <w:tr2bl w:val="nil"/>
            </w:tcBorders>
            <w:vAlign w:val="top"/>
          </w:tcPr>
          <w:p w14:paraId="61AD2764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6A177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4572D56">
            <w:pPr>
              <w:jc w:val="center"/>
              <w:rPr>
                <w:sz w:val="18"/>
                <w:szCs w:val="18"/>
              </w:rPr>
            </w:pPr>
          </w:p>
        </w:tc>
      </w:tr>
      <w:tr w14:paraId="2A9C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C8FCC9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23B0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厂界下风向3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B91181">
            <w:pPr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0.96</w:t>
            </w:r>
          </w:p>
        </w:tc>
        <w:tc>
          <w:tcPr>
            <w:tcW w:w="12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2077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2CCE9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3F4C4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DF16C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F3E3F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2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top"/>
          </w:tcPr>
          <w:p w14:paraId="3B05FDBE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3614D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19CEB0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CE9557"/>
    <w:p w14:paraId="5071DB1A">
      <w:pPr>
        <w:pStyle w:val="2"/>
      </w:pPr>
      <w:bookmarkStart w:id="8" w:name="_GoBack"/>
      <w:bookmarkEnd w:id="8"/>
    </w:p>
    <w:p w14:paraId="3797D561">
      <w:pPr>
        <w:pStyle w:val="2"/>
      </w:pP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NjFhM2M4ZDE4MTQ4OTM3ODU4OTBmNjgwOGIzMzU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73916"/>
    <w:rsid w:val="00786795"/>
    <w:rsid w:val="007C46F1"/>
    <w:rsid w:val="00883222"/>
    <w:rsid w:val="00887B6B"/>
    <w:rsid w:val="00926805"/>
    <w:rsid w:val="00B36F73"/>
    <w:rsid w:val="00BD25F1"/>
    <w:rsid w:val="00BF3016"/>
    <w:rsid w:val="00CF4B8D"/>
    <w:rsid w:val="00CF78D6"/>
    <w:rsid w:val="00DB0627"/>
    <w:rsid w:val="00F8085D"/>
    <w:rsid w:val="02F76F90"/>
    <w:rsid w:val="047F2D99"/>
    <w:rsid w:val="04CA7434"/>
    <w:rsid w:val="04DC7F02"/>
    <w:rsid w:val="06D51397"/>
    <w:rsid w:val="08E9086B"/>
    <w:rsid w:val="09AA6B0A"/>
    <w:rsid w:val="0A951569"/>
    <w:rsid w:val="0C2B72AE"/>
    <w:rsid w:val="0C601702"/>
    <w:rsid w:val="0D642B15"/>
    <w:rsid w:val="0E9C0543"/>
    <w:rsid w:val="0EE505E5"/>
    <w:rsid w:val="0F0A0DA1"/>
    <w:rsid w:val="0F2205BA"/>
    <w:rsid w:val="0F77518B"/>
    <w:rsid w:val="101048B1"/>
    <w:rsid w:val="107004B0"/>
    <w:rsid w:val="112A6783"/>
    <w:rsid w:val="1211524D"/>
    <w:rsid w:val="121F796A"/>
    <w:rsid w:val="122431D2"/>
    <w:rsid w:val="12641453"/>
    <w:rsid w:val="15C30386"/>
    <w:rsid w:val="166444E5"/>
    <w:rsid w:val="16E96798"/>
    <w:rsid w:val="16EB29C9"/>
    <w:rsid w:val="1740460A"/>
    <w:rsid w:val="184A3267"/>
    <w:rsid w:val="187D2EBF"/>
    <w:rsid w:val="18E67433"/>
    <w:rsid w:val="19D61256"/>
    <w:rsid w:val="1A3A1444"/>
    <w:rsid w:val="1BF3590A"/>
    <w:rsid w:val="1CB17D58"/>
    <w:rsid w:val="1D4666F2"/>
    <w:rsid w:val="1DE03896"/>
    <w:rsid w:val="1F756BD0"/>
    <w:rsid w:val="23503E27"/>
    <w:rsid w:val="254E5F1C"/>
    <w:rsid w:val="26724B7D"/>
    <w:rsid w:val="27A40BE5"/>
    <w:rsid w:val="28A64827"/>
    <w:rsid w:val="2912392D"/>
    <w:rsid w:val="2AF05EF0"/>
    <w:rsid w:val="2CC118F2"/>
    <w:rsid w:val="2D5F2B76"/>
    <w:rsid w:val="2E4B3B69"/>
    <w:rsid w:val="2F927575"/>
    <w:rsid w:val="2FB8241F"/>
    <w:rsid w:val="30823A8E"/>
    <w:rsid w:val="30A13F14"/>
    <w:rsid w:val="312419D9"/>
    <w:rsid w:val="333448BD"/>
    <w:rsid w:val="33D71A06"/>
    <w:rsid w:val="340B78F6"/>
    <w:rsid w:val="35C366DA"/>
    <w:rsid w:val="36743E79"/>
    <w:rsid w:val="369260B6"/>
    <w:rsid w:val="372E4027"/>
    <w:rsid w:val="37870F77"/>
    <w:rsid w:val="387E2D8D"/>
    <w:rsid w:val="39BA2F22"/>
    <w:rsid w:val="39DC5FBD"/>
    <w:rsid w:val="3A4D0C68"/>
    <w:rsid w:val="3AFE1F63"/>
    <w:rsid w:val="3B36794F"/>
    <w:rsid w:val="3BC972F8"/>
    <w:rsid w:val="3C9C1A33"/>
    <w:rsid w:val="3D0870C9"/>
    <w:rsid w:val="3D1444FA"/>
    <w:rsid w:val="3D532A3A"/>
    <w:rsid w:val="3F373C95"/>
    <w:rsid w:val="3F650802"/>
    <w:rsid w:val="3F8327EE"/>
    <w:rsid w:val="3FB22A00"/>
    <w:rsid w:val="3FD17C46"/>
    <w:rsid w:val="3FD84381"/>
    <w:rsid w:val="3FDA0BC2"/>
    <w:rsid w:val="4105404B"/>
    <w:rsid w:val="412D35A2"/>
    <w:rsid w:val="41B94E35"/>
    <w:rsid w:val="42925DB2"/>
    <w:rsid w:val="436F1C50"/>
    <w:rsid w:val="43C31F9B"/>
    <w:rsid w:val="43FE4C25"/>
    <w:rsid w:val="457E261E"/>
    <w:rsid w:val="46A41C10"/>
    <w:rsid w:val="46DF533E"/>
    <w:rsid w:val="4800731A"/>
    <w:rsid w:val="49647D7D"/>
    <w:rsid w:val="49ED38CE"/>
    <w:rsid w:val="49FD1764"/>
    <w:rsid w:val="4C787DC7"/>
    <w:rsid w:val="4E434405"/>
    <w:rsid w:val="4FDD43E5"/>
    <w:rsid w:val="50811214"/>
    <w:rsid w:val="50940D64"/>
    <w:rsid w:val="50F978D6"/>
    <w:rsid w:val="514F4E6E"/>
    <w:rsid w:val="52B50C5A"/>
    <w:rsid w:val="538057B3"/>
    <w:rsid w:val="54297BF9"/>
    <w:rsid w:val="547A0454"/>
    <w:rsid w:val="54D062C6"/>
    <w:rsid w:val="55A47BEE"/>
    <w:rsid w:val="55C7591B"/>
    <w:rsid w:val="56C82147"/>
    <w:rsid w:val="5707672E"/>
    <w:rsid w:val="5748483A"/>
    <w:rsid w:val="576D24F2"/>
    <w:rsid w:val="57F81DBC"/>
    <w:rsid w:val="5AA858A8"/>
    <w:rsid w:val="5B0311A3"/>
    <w:rsid w:val="5B1A473F"/>
    <w:rsid w:val="5B5F000B"/>
    <w:rsid w:val="5B905EF9"/>
    <w:rsid w:val="5C3E3E6E"/>
    <w:rsid w:val="5CAB1AF3"/>
    <w:rsid w:val="5D292A17"/>
    <w:rsid w:val="5E4C10B3"/>
    <w:rsid w:val="5EAF519E"/>
    <w:rsid w:val="5ED22A3C"/>
    <w:rsid w:val="5F15097C"/>
    <w:rsid w:val="604F4E8B"/>
    <w:rsid w:val="60EB4BB4"/>
    <w:rsid w:val="60F872D1"/>
    <w:rsid w:val="61475B62"/>
    <w:rsid w:val="61736957"/>
    <w:rsid w:val="632F68AE"/>
    <w:rsid w:val="63984453"/>
    <w:rsid w:val="64F733FB"/>
    <w:rsid w:val="66D1457A"/>
    <w:rsid w:val="66DD4F9F"/>
    <w:rsid w:val="66FD4F21"/>
    <w:rsid w:val="674C7A2E"/>
    <w:rsid w:val="67535261"/>
    <w:rsid w:val="677D22DE"/>
    <w:rsid w:val="683223C2"/>
    <w:rsid w:val="69A846E0"/>
    <w:rsid w:val="6A012B78"/>
    <w:rsid w:val="6A527A52"/>
    <w:rsid w:val="6D4654C4"/>
    <w:rsid w:val="6E3F653F"/>
    <w:rsid w:val="6E55366C"/>
    <w:rsid w:val="6E7361E8"/>
    <w:rsid w:val="6E7F693B"/>
    <w:rsid w:val="6EC16F54"/>
    <w:rsid w:val="6F5B7016"/>
    <w:rsid w:val="6FEA24DA"/>
    <w:rsid w:val="700C3FC1"/>
    <w:rsid w:val="70C25205"/>
    <w:rsid w:val="715B3690"/>
    <w:rsid w:val="717A629B"/>
    <w:rsid w:val="728C7879"/>
    <w:rsid w:val="73247AB1"/>
    <w:rsid w:val="736600CA"/>
    <w:rsid w:val="73816CB2"/>
    <w:rsid w:val="740175A6"/>
    <w:rsid w:val="75E65D69"/>
    <w:rsid w:val="762A53DF"/>
    <w:rsid w:val="76654669"/>
    <w:rsid w:val="76EC6B38"/>
    <w:rsid w:val="78025AAE"/>
    <w:rsid w:val="78C31B1A"/>
    <w:rsid w:val="79551DAF"/>
    <w:rsid w:val="79DC6531"/>
    <w:rsid w:val="7A1545F8"/>
    <w:rsid w:val="7A752020"/>
    <w:rsid w:val="7AF67F85"/>
    <w:rsid w:val="7B01409D"/>
    <w:rsid w:val="7C7C0083"/>
    <w:rsid w:val="7E1846B6"/>
    <w:rsid w:val="7E527BC8"/>
    <w:rsid w:val="7E6A3164"/>
    <w:rsid w:val="7F037115"/>
    <w:rsid w:val="7F957DA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B1-4376-4AFA-9DF0-6EEAA09B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589</Words>
  <Characters>784</Characters>
  <Lines>3</Lines>
  <Paragraphs>1</Paragraphs>
  <TotalTime>3</TotalTime>
  <ScaleCrop>false</ScaleCrop>
  <LinksUpToDate>false</LinksUpToDate>
  <CharactersWithSpaces>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2026-01-14T03:02:01Z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33FFF4D4E39448FB917406FBD4C4F286_12</vt:lpwstr>
  </property>
  <property fmtid="{D5CDD505-2E9C-101B-9397-08002B2CF9AE}" pid="4" name="KSOTemplateDocerSaveRecord">
    <vt:lpwstr>eyJoZGlkIjoiODAzM2Q0NTMxMGQ2YTdhMzAyNzI2MjBjNGQ0NmQ1MGQiLCJ1c2VySWQiOiI3MDI0OTcwNTMifQ==</vt:lpwstr>
  </property>
</Properties>
</file>